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8" w:rsidRPr="00A418C8" w:rsidRDefault="00A418C8" w:rsidP="00A418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418C8">
        <w:rPr>
          <w:rFonts w:ascii="Arial" w:eastAsia="Times New Roman" w:hAnsi="Arial" w:cs="Arial"/>
          <w:b/>
          <w:sz w:val="28"/>
          <w:szCs w:val="28"/>
        </w:rPr>
        <w:t xml:space="preserve">SUPPORT UNIT LEADER </w:t>
      </w:r>
    </w:p>
    <w:p w:rsidR="00A418C8" w:rsidRPr="00A418C8" w:rsidRDefault="00A418C8" w:rsidP="00A418C8">
      <w:pPr>
        <w:spacing w:after="0" w:line="240" w:lineRule="auto"/>
        <w:ind w:left="1080" w:hanging="1080"/>
        <w:rPr>
          <w:rFonts w:ascii="Arial" w:eastAsia="Times New Roman" w:hAnsi="Arial" w:cs="Arial"/>
          <w:b/>
          <w:szCs w:val="24"/>
        </w:rPr>
      </w:pPr>
    </w:p>
    <w:p w:rsidR="00DA792B" w:rsidRDefault="00DA792B" w:rsidP="00DA792B">
      <w:pPr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 w:rsidRPr="001D0D02">
        <w:rPr>
          <w:rFonts w:ascii="Arial" w:eastAsia="Times New Roman" w:hAnsi="Arial" w:cs="Arial"/>
          <w:b/>
          <w:sz w:val="24"/>
          <w:szCs w:val="24"/>
        </w:rPr>
        <w:t>Mission: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D0D02">
        <w:rPr>
          <w:rFonts w:ascii="Arial" w:eastAsia="Times New Roman" w:hAnsi="Arial" w:cs="Arial"/>
          <w:spacing w:val="-3"/>
          <w:sz w:val="24"/>
          <w:szCs w:val="24"/>
        </w:rPr>
        <w:t xml:space="preserve">Organize and manage the services required to maintain the </w:t>
      </w:r>
      <w:r>
        <w:rPr>
          <w:rFonts w:ascii="Arial" w:eastAsia="Times New Roman" w:hAnsi="Arial" w:cs="Arial"/>
          <w:spacing w:val="-3"/>
          <w:sz w:val="24"/>
          <w:szCs w:val="24"/>
        </w:rPr>
        <w:t>TMTS</w:t>
      </w:r>
      <w:r w:rsidRPr="001D0D02">
        <w:rPr>
          <w:rFonts w:ascii="Arial" w:eastAsia="Times New Roman" w:hAnsi="Arial" w:cs="Arial"/>
          <w:spacing w:val="-3"/>
          <w:sz w:val="24"/>
          <w:szCs w:val="24"/>
        </w:rPr>
        <w:t xml:space="preserve"> supplies facilities, transportation, and labor pool.  Ensure the provision of logistical, psychological,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D0D02">
        <w:rPr>
          <w:rFonts w:ascii="Arial" w:eastAsia="Times New Roman" w:hAnsi="Arial" w:cs="Arial"/>
          <w:spacing w:val="-3"/>
          <w:sz w:val="24"/>
          <w:szCs w:val="24"/>
        </w:rPr>
        <w:t xml:space="preserve">and medical support of </w:t>
      </w:r>
      <w:r>
        <w:rPr>
          <w:rFonts w:ascii="Arial" w:eastAsia="Times New Roman" w:hAnsi="Arial" w:cs="Arial"/>
          <w:spacing w:val="-3"/>
          <w:sz w:val="24"/>
          <w:szCs w:val="24"/>
        </w:rPr>
        <w:t>TMTS</w:t>
      </w:r>
      <w:r w:rsidRPr="001D0D02">
        <w:rPr>
          <w:rFonts w:ascii="Arial" w:eastAsia="Times New Roman" w:hAnsi="Arial" w:cs="Arial"/>
          <w:spacing w:val="-3"/>
          <w:sz w:val="24"/>
          <w:szCs w:val="24"/>
        </w:rPr>
        <w:t xml:space="preserve"> staff and their dependents.</w:t>
      </w:r>
    </w:p>
    <w:p w:rsidR="00A418C8" w:rsidRPr="00A418C8" w:rsidRDefault="00A418C8" w:rsidP="00A418C8">
      <w:pPr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tbl>
      <w:tblPr>
        <w:tblW w:w="10260" w:type="dxa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418C8" w:rsidRPr="00A418C8" w:rsidTr="00A418C8">
        <w:tc>
          <w:tcPr>
            <w:tcW w:w="10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18C8" w:rsidRPr="00A418C8" w:rsidRDefault="00A418C8" w:rsidP="00A418C8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A418C8" w:rsidRPr="00A418C8" w:rsidRDefault="00A418C8" w:rsidP="00A418C8">
            <w:pPr>
              <w:tabs>
                <w:tab w:val="left" w:pos="43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A418C8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A418C8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Logistics Chief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A418C8" w:rsidRPr="00A418C8" w:rsidRDefault="00A418C8" w:rsidP="00A418C8">
            <w:pPr>
              <w:tabs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A418C8" w:rsidRPr="00A418C8" w:rsidRDefault="00A418C8" w:rsidP="00A418C8">
            <w:pPr>
              <w:tabs>
                <w:tab w:val="left" w:leader="underscore" w:pos="2520"/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A418C8" w:rsidRPr="00A418C8" w:rsidRDefault="00A418C8" w:rsidP="00A418C8">
      <w:pPr>
        <w:tabs>
          <w:tab w:val="left" w:leader="underscore" w:pos="3960"/>
          <w:tab w:val="left" w:pos="4320"/>
          <w:tab w:val="left" w:leader="underscore" w:pos="9360"/>
        </w:tabs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tbl>
      <w:tblPr>
        <w:tblW w:w="50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71"/>
        <w:gridCol w:w="1080"/>
        <w:gridCol w:w="988"/>
      </w:tblGrid>
      <w:tr w:rsidR="00A418C8" w:rsidRPr="00A418C8" w:rsidTr="00896FB9">
        <w:trPr>
          <w:trHeight w:val="436"/>
          <w:tblHeader/>
        </w:trPr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Immediate (Operational Period 0-2 Hours)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Time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Initial</w:t>
            </w: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 w:rsidRPr="001D0D02">
              <w:rPr>
                <w:rFonts w:ascii="Arial" w:eastAsia="Times New Roman" w:hAnsi="Arial" w:cs="Times New Roman"/>
                <w:sz w:val="20"/>
              </w:rPr>
              <w:t>Receive appointment and briefing f</w:t>
            </w:r>
            <w:r w:rsidRPr="00BA32C1">
              <w:rPr>
                <w:rFonts w:ascii="Arial" w:eastAsia="Times New Roman" w:hAnsi="Arial" w:cs="Times New Roman"/>
                <w:sz w:val="20"/>
              </w:rPr>
              <w:t>rom the Logistics Section Chief</w:t>
            </w:r>
            <w:r w:rsidRPr="001D0D02">
              <w:rPr>
                <w:rFonts w:ascii="Arial" w:eastAsia="Times New Roman" w:hAnsi="Arial" w:cs="Times New Roman"/>
                <w:sz w:val="20"/>
              </w:rPr>
              <w:t>. Obtain packet containing Support Branch Director Job Action Sheet.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 w:rsidRPr="001D0D02">
              <w:rPr>
                <w:rFonts w:ascii="Arial" w:eastAsia="Times New Roman" w:hAnsi="Arial" w:cs="Times New Roman"/>
                <w:sz w:val="20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Receive assigned radio and establish communications with the Communications Unit Leader.  Receive just-in-time training for the radio if needed.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 w:rsidRPr="001D0D02">
              <w:rPr>
                <w:rFonts w:ascii="Arial" w:eastAsia="Times New Roman" w:hAnsi="Arial" w:cs="Times New Roman"/>
                <w:sz w:val="20"/>
              </w:rPr>
              <w:t>Brief team members on current situation, incident objectives and strategy; outline Unit action plan; and designate time for next briefing.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Assess Support Branch areas capacity to deliver needed: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A32C1">
              <w:rPr>
                <w:rFonts w:ascii="Arial" w:eastAsia="Times New Roman" w:hAnsi="Arial" w:cs="Arial"/>
                <w:sz w:val="20"/>
              </w:rPr>
              <w:t>Responder</w:t>
            </w:r>
            <w:r w:rsidRPr="001D0D02">
              <w:rPr>
                <w:rFonts w:ascii="Arial" w:eastAsia="Times New Roman" w:hAnsi="Arial" w:cs="Arial"/>
                <w:sz w:val="20"/>
              </w:rPr>
              <w:t xml:space="preserve"> health care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Mental health support to staff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Family support to staff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Medical equipment and supplies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Facility cleanliness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Internal and external transportation support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Supplemental personnel management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 xml:space="preserve">In collaboration with the Safety Officer determine need for staff personal protective equipment; implement protective actions as required. 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Regularly report Service Branch status to the Logistics Section Chief.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Instruct all Unit Leaders to evaluate on-hand equipment, supply, and medication inventories and staff needs; report status to the Supply Unit Leader.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BA5F57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A5F57" w:rsidRPr="001D0D02" w:rsidRDefault="00BA5F57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A5F57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A5F57" w:rsidRPr="00A418C8" w:rsidRDefault="00BA5F57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A5F57" w:rsidRPr="00A418C8" w:rsidRDefault="00BA5F57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 xml:space="preserve">Assess mental health status concerns and; determine need for expanded support.  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Assess problems and needs in each Unit area; coordinate resource management.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1D0D02">
              <w:rPr>
                <w:rFonts w:ascii="Arial" w:eastAsia="Times New Roman" w:hAnsi="Arial" w:cs="Arial"/>
                <w:spacing w:val="-3"/>
                <w:sz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A418C8" w:rsidRDefault="00A418C8" w:rsidP="00A418C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418C8" w:rsidRDefault="00A418C8" w:rsidP="00A418C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418C8" w:rsidRDefault="00A418C8" w:rsidP="00A418C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50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71"/>
        <w:gridCol w:w="1080"/>
        <w:gridCol w:w="988"/>
      </w:tblGrid>
      <w:tr w:rsidR="00A418C8" w:rsidRPr="00A418C8" w:rsidTr="00896FB9">
        <w:trPr>
          <w:tblHeader/>
        </w:trPr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Intermediate (Operational Period 2-12 Hours)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Time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Initial</w:t>
            </w: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Continue assessing and coordinating Support Branch’s ability to provide needed personnel and support services.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Ensure prioritization of problems when multiple issues are presented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FC51E3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51E3" w:rsidRPr="001D0D02" w:rsidRDefault="00FC51E3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C51E3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51E3" w:rsidRPr="00A418C8" w:rsidRDefault="00FC51E3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51E3" w:rsidRPr="00A418C8" w:rsidRDefault="00FC51E3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Continue to evaluate the need for staff personal protection measures, in coordination with the Safety Officer and the Medical Director and implement actions as indicated.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Assign mental health personnel to visit patient care areas and evaluate staff needs; in coordination with the Medical Director and report issues to the Logistics Section Chief.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Coordinate use of external resources to assist with service delivery.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Advise the Logistics Section Chief immediately of any operational issue you are not able to correct or resolve.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 xml:space="preserve">Meet routinely with the Logistics Section Chief for status reports, and relay important information to staff. 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A32C1">
              <w:rPr>
                <w:rFonts w:ascii="Arial" w:eastAsia="Times New Roman" w:hAnsi="Arial" w:cs="Arial"/>
                <w:sz w:val="20"/>
                <w:szCs w:val="24"/>
              </w:rPr>
              <w:t xml:space="preserve">Assess environmental services </w:t>
            </w: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needs in all staff activity areas.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Report equipment needs to the Supply Unit Leader.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 xml:space="preserve">Ensure staff health and safety issues being addressed; resolve with the Safety Officer when appropriate. 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</w:tbl>
    <w:p w:rsidR="00A418C8" w:rsidRPr="00A418C8" w:rsidRDefault="00A418C8" w:rsidP="00A418C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50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71"/>
        <w:gridCol w:w="1080"/>
        <w:gridCol w:w="988"/>
      </w:tblGrid>
      <w:tr w:rsidR="00A418C8" w:rsidRPr="00A418C8" w:rsidTr="00896FB9">
        <w:trPr>
          <w:tblHeader/>
        </w:trPr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CA0951" w:rsidP="00A418C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End of Shift/</w:t>
            </w:r>
            <w:r w:rsidR="00A418C8"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Demobilization/System Recovery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Time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Initial</w:t>
            </w: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As needs for Support Branch staff decrease, return staff to their usual jobs and combine or deactivate positions in a phased manner.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FC51E3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51E3" w:rsidRPr="001D0D02" w:rsidRDefault="00FC51E3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E3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51E3" w:rsidRPr="00A418C8" w:rsidRDefault="00FC51E3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51E3" w:rsidRPr="00A418C8" w:rsidRDefault="00FC51E3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Assist the Logistics Section Chief and Unit Leaders with addressing staff health and medical concerns.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Ensure return/retrieval of equipment and supplies.</w:t>
            </w:r>
          </w:p>
          <w:p w:rsidR="00896FB9" w:rsidRPr="001D0D02" w:rsidRDefault="00896FB9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Upon deactivation of your position, ensure all documentation and HICS forms are submitted to the Logistics Section Chief.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Upon deactivation of your position, brief the Logistics Section Chief on current problems, outstanding issues, and follow-up requirements.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Default="00DA792B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 w:rsidRPr="001D0D02">
              <w:rPr>
                <w:rFonts w:ascii="Arial" w:eastAsia="Times New Roman" w:hAnsi="Arial" w:cs="Times New Roman"/>
                <w:sz w:val="20"/>
              </w:rPr>
              <w:t>Submit comments in the after action report.</w:t>
            </w:r>
          </w:p>
          <w:p w:rsidR="00896FB9" w:rsidRPr="001D0D02" w:rsidRDefault="00896FB9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896FB9">
        <w:tc>
          <w:tcPr>
            <w:tcW w:w="3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A418C8" w:rsidRPr="00A418C8" w:rsidRDefault="00A418C8" w:rsidP="00A418C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3156FC" w:rsidRPr="00A418C8" w:rsidRDefault="003156FC" w:rsidP="00A418C8">
      <w:pPr>
        <w:spacing w:after="0"/>
      </w:pPr>
    </w:p>
    <w:sectPr w:rsidR="003156FC" w:rsidRPr="00A418C8" w:rsidSect="00917B52">
      <w:headerReference w:type="default" r:id="rId7"/>
      <w:headerReference w:type="first" r:id="rId8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C3" w:rsidRDefault="002E29C3" w:rsidP="00CC75EE">
      <w:pPr>
        <w:spacing w:after="0" w:line="240" w:lineRule="auto"/>
      </w:pPr>
      <w:r>
        <w:separator/>
      </w:r>
    </w:p>
  </w:endnote>
  <w:endnote w:type="continuationSeparator" w:id="0">
    <w:p w:rsidR="002E29C3" w:rsidRDefault="002E29C3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C3" w:rsidRDefault="002E29C3" w:rsidP="00CC75EE">
      <w:pPr>
        <w:spacing w:after="0" w:line="240" w:lineRule="auto"/>
      </w:pPr>
      <w:r>
        <w:separator/>
      </w:r>
    </w:p>
  </w:footnote>
  <w:footnote w:type="continuationSeparator" w:id="0">
    <w:p w:rsidR="002E29C3" w:rsidRDefault="002E29C3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>Job Action Sheet</w:t>
    </w:r>
    <w:r w:rsidRPr="00615202">
      <w:rPr>
        <w:rFonts w:ascii="Century Gothic" w:eastAsia="Century Gothic" w:hAnsi="Century Gothic" w:cs="Arial"/>
        <w:sz w:val="16"/>
        <w:szCs w:val="16"/>
      </w:rPr>
      <w:tab/>
    </w:r>
    <w:r w:rsidRPr="00615202">
      <w:rPr>
        <w:rFonts w:ascii="Century Gothic" w:eastAsia="Century Gothic" w:hAnsi="Century Gothic" w:cs="Arial"/>
        <w:sz w:val="16"/>
        <w:szCs w:val="16"/>
      </w:rPr>
      <w:tab/>
      <w:t>Logistics Section</w:t>
    </w:r>
  </w:p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>TMTS Operations Guide</w:t>
    </w:r>
    <w:r w:rsidRPr="00615202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615202">
      <w:rPr>
        <w:rFonts w:ascii="Century Gothic" w:eastAsia="Century Gothic" w:hAnsi="Century Gothic" w:cs="Arial"/>
        <w:b/>
        <w:sz w:val="16"/>
        <w:szCs w:val="16"/>
      </w:rPr>
      <w:tab/>
    </w:r>
    <w:r w:rsidRPr="00615202">
      <w:rPr>
        <w:rFonts w:ascii="Century Gothic" w:eastAsia="Century Gothic" w:hAnsi="Century Gothic" w:cs="Arial"/>
        <w:b/>
        <w:sz w:val="16"/>
        <w:szCs w:val="16"/>
      </w:rPr>
      <w:tab/>
    </w:r>
    <w:r w:rsidR="00A418C8">
      <w:rPr>
        <w:rFonts w:ascii="Century Gothic" w:eastAsia="Century Gothic" w:hAnsi="Century Gothic" w:cs="Arial"/>
        <w:b/>
        <w:sz w:val="16"/>
        <w:szCs w:val="16"/>
      </w:rPr>
      <w:t>SUPPORT</w:t>
    </w:r>
    <w:r w:rsidRPr="00615202">
      <w:rPr>
        <w:rFonts w:ascii="Century Gothic" w:eastAsia="Century Gothic" w:hAnsi="Century Gothic" w:cs="Arial"/>
        <w:b/>
        <w:sz w:val="16"/>
        <w:szCs w:val="16"/>
      </w:rPr>
      <w:t xml:space="preserve"> UNIT LEADER</w:t>
    </w:r>
  </w:p>
  <w:p w:rsidR="005304C2" w:rsidRPr="005304C2" w:rsidRDefault="0061520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ab/>
    </w:r>
    <w:r w:rsidRPr="00615202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615202">
      <w:rPr>
        <w:rFonts w:ascii="Century Gothic" w:eastAsia="Century Gothic" w:hAnsi="Century Gothic" w:cs="Arial"/>
        <w:sz w:val="16"/>
        <w:szCs w:val="16"/>
      </w:rPr>
      <w:fldChar w:fldCharType="begin"/>
    </w:r>
    <w:r w:rsidRPr="00615202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615202">
      <w:rPr>
        <w:rFonts w:ascii="Century Gothic" w:eastAsia="Century Gothic" w:hAnsi="Century Gothic" w:cs="Arial"/>
        <w:sz w:val="16"/>
        <w:szCs w:val="16"/>
      </w:rPr>
      <w:fldChar w:fldCharType="separate"/>
    </w:r>
    <w:r w:rsidR="00896FB9">
      <w:rPr>
        <w:rFonts w:ascii="Century Gothic" w:eastAsia="Century Gothic" w:hAnsi="Century Gothic" w:cs="Arial"/>
        <w:noProof/>
        <w:sz w:val="16"/>
        <w:szCs w:val="16"/>
      </w:rPr>
      <w:t>2</w:t>
    </w:r>
    <w:r w:rsidRPr="00615202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0D0810">
      <w:rPr>
        <w:rFonts w:ascii="Century Gothic" w:eastAsia="Century Gothic" w:hAnsi="Century Gothic" w:cs="Arial"/>
        <w:sz w:val="16"/>
        <w:szCs w:val="16"/>
      </w:rPr>
      <w:t>Logistics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D8C6DE1"/>
    <w:multiLevelType w:val="hybridMultilevel"/>
    <w:tmpl w:val="0E4E3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D10E30"/>
    <w:multiLevelType w:val="hybridMultilevel"/>
    <w:tmpl w:val="EF6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16"/>
  </w:num>
  <w:num w:numId="7">
    <w:abstractNumId w:val="17"/>
  </w:num>
  <w:num w:numId="8">
    <w:abstractNumId w:val="22"/>
  </w:num>
  <w:num w:numId="9">
    <w:abstractNumId w:val="3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21"/>
  </w:num>
  <w:num w:numId="16">
    <w:abstractNumId w:val="19"/>
  </w:num>
  <w:num w:numId="17">
    <w:abstractNumId w:val="2"/>
  </w:num>
  <w:num w:numId="18">
    <w:abstractNumId w:val="18"/>
  </w:num>
  <w:num w:numId="19">
    <w:abstractNumId w:val="8"/>
  </w:num>
  <w:num w:numId="20">
    <w:abstractNumId w:val="9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E"/>
    <w:rsid w:val="000C1E76"/>
    <w:rsid w:val="000D0810"/>
    <w:rsid w:val="00162F00"/>
    <w:rsid w:val="001A3F19"/>
    <w:rsid w:val="002E29C3"/>
    <w:rsid w:val="003156FC"/>
    <w:rsid w:val="004642C5"/>
    <w:rsid w:val="005304C2"/>
    <w:rsid w:val="005A452B"/>
    <w:rsid w:val="005C1210"/>
    <w:rsid w:val="005D4A2E"/>
    <w:rsid w:val="00615202"/>
    <w:rsid w:val="00865551"/>
    <w:rsid w:val="00875BB3"/>
    <w:rsid w:val="00896FB9"/>
    <w:rsid w:val="008C12F0"/>
    <w:rsid w:val="00917B52"/>
    <w:rsid w:val="00942727"/>
    <w:rsid w:val="009C60D0"/>
    <w:rsid w:val="00A17486"/>
    <w:rsid w:val="00A418C8"/>
    <w:rsid w:val="00A42712"/>
    <w:rsid w:val="00A46911"/>
    <w:rsid w:val="00AA470E"/>
    <w:rsid w:val="00AD261C"/>
    <w:rsid w:val="00B10CC4"/>
    <w:rsid w:val="00B63B0B"/>
    <w:rsid w:val="00BA5F57"/>
    <w:rsid w:val="00BC6542"/>
    <w:rsid w:val="00C414DA"/>
    <w:rsid w:val="00C7772E"/>
    <w:rsid w:val="00CA0951"/>
    <w:rsid w:val="00CC75EE"/>
    <w:rsid w:val="00CE74AB"/>
    <w:rsid w:val="00D1559E"/>
    <w:rsid w:val="00DA792B"/>
    <w:rsid w:val="00E61236"/>
    <w:rsid w:val="00FC51E3"/>
    <w:rsid w:val="00FC757E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9DEA3"/>
  <w15:docId w15:val="{AA06E095-876A-4369-B595-E560AF1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3630</Characters>
  <Application>Microsoft Office Word</Application>
  <DocSecurity>0</DocSecurity>
  <Lines>157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6</cp:revision>
  <cp:lastPrinted>2012-09-28T20:55:00Z</cp:lastPrinted>
  <dcterms:created xsi:type="dcterms:W3CDTF">2020-03-17T19:57:00Z</dcterms:created>
  <dcterms:modified xsi:type="dcterms:W3CDTF">2020-03-20T05:36:00Z</dcterms:modified>
</cp:coreProperties>
</file>