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8" w:rsidRPr="00A418C8" w:rsidRDefault="00A418C8" w:rsidP="00A418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418C8">
        <w:rPr>
          <w:rFonts w:ascii="Arial" w:eastAsia="Times New Roman" w:hAnsi="Arial" w:cs="Arial"/>
          <w:b/>
          <w:sz w:val="28"/>
          <w:szCs w:val="28"/>
        </w:rPr>
        <w:t xml:space="preserve">SUPPORT UNIT LEADER </w:t>
      </w:r>
    </w:p>
    <w:p w:rsidR="00A418C8" w:rsidRPr="00A418C8" w:rsidRDefault="00A418C8" w:rsidP="00A418C8">
      <w:pPr>
        <w:spacing w:after="0" w:line="240" w:lineRule="auto"/>
        <w:ind w:left="1080" w:hanging="1080"/>
        <w:rPr>
          <w:rFonts w:ascii="Arial" w:eastAsia="Times New Roman" w:hAnsi="Arial" w:cs="Arial"/>
          <w:b/>
          <w:szCs w:val="24"/>
        </w:rPr>
      </w:pPr>
    </w:p>
    <w:p w:rsidR="00DA792B" w:rsidRDefault="00DA792B" w:rsidP="00DA792B">
      <w:pPr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 w:rsidRPr="001D0D02">
        <w:rPr>
          <w:rFonts w:ascii="Arial" w:eastAsia="Times New Roman" w:hAnsi="Arial" w:cs="Arial"/>
          <w:b/>
          <w:sz w:val="24"/>
          <w:szCs w:val="24"/>
        </w:rPr>
        <w:t>Mission: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Organize and manage the services required to maintain the </w:t>
      </w:r>
      <w:r>
        <w:rPr>
          <w:rFonts w:ascii="Arial" w:eastAsia="Times New Roman" w:hAnsi="Arial" w:cs="Arial"/>
          <w:spacing w:val="-3"/>
          <w:sz w:val="24"/>
          <w:szCs w:val="24"/>
        </w:rPr>
        <w:t>TMTS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 supplies facilities, transportation, and labor pool.  Ensure the provision of logistical, psychological,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and medical support of </w:t>
      </w:r>
      <w:r>
        <w:rPr>
          <w:rFonts w:ascii="Arial" w:eastAsia="Times New Roman" w:hAnsi="Arial" w:cs="Arial"/>
          <w:spacing w:val="-3"/>
          <w:sz w:val="24"/>
          <w:szCs w:val="24"/>
        </w:rPr>
        <w:t>TMTS</w:t>
      </w:r>
      <w:r w:rsidRPr="001D0D02">
        <w:rPr>
          <w:rFonts w:ascii="Arial" w:eastAsia="Times New Roman" w:hAnsi="Arial" w:cs="Arial"/>
          <w:spacing w:val="-3"/>
          <w:sz w:val="24"/>
          <w:szCs w:val="24"/>
        </w:rPr>
        <w:t xml:space="preserve"> staff and their dependents.</w:t>
      </w:r>
    </w:p>
    <w:p w:rsidR="00A418C8" w:rsidRPr="00A418C8" w:rsidRDefault="00A418C8" w:rsidP="00A418C8">
      <w:pPr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418C8" w:rsidRPr="00A418C8" w:rsidTr="00A418C8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18C8" w:rsidRPr="00A418C8" w:rsidRDefault="00A418C8" w:rsidP="00A418C8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A418C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A418C8" w:rsidRPr="00A418C8" w:rsidRDefault="00A418C8" w:rsidP="00A418C8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A418C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A418C8" w:rsidRPr="00A418C8" w:rsidRDefault="00A418C8" w:rsidP="00A418C8">
      <w:pPr>
        <w:tabs>
          <w:tab w:val="left" w:leader="underscore" w:pos="3960"/>
          <w:tab w:val="left" w:pos="4320"/>
          <w:tab w:val="left" w:leader="underscore" w:pos="9360"/>
        </w:tabs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06"/>
        <w:gridCol w:w="1038"/>
        <w:gridCol w:w="1071"/>
      </w:tblGrid>
      <w:tr w:rsidR="00A418C8" w:rsidRPr="00A418C8" w:rsidTr="00A418C8">
        <w:trPr>
          <w:trHeight w:val="436"/>
          <w:tblHeader/>
        </w:trPr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Immediate (Operational Period 0-2 Hours)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Receive appointment and briefing f</w:t>
            </w:r>
            <w:r w:rsidRPr="00BA32C1">
              <w:rPr>
                <w:rFonts w:ascii="Arial" w:eastAsia="Times New Roman" w:hAnsi="Arial" w:cs="Times New Roman"/>
                <w:sz w:val="20"/>
              </w:rPr>
              <w:t>rom the Logistics Section Chief</w:t>
            </w:r>
            <w:r w:rsidRPr="001D0D02">
              <w:rPr>
                <w:rFonts w:ascii="Arial" w:eastAsia="Times New Roman" w:hAnsi="Arial" w:cs="Times New Roman"/>
                <w:sz w:val="20"/>
              </w:rPr>
              <w:t>. Obtain packet containing Support Branch Director Job Action Sheet.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Receive assigned radio and establish communications with the Communications Unit Leader.  Receive just-in-time training for the radio if needed.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Brief team members on current situation, incident objectives and strategy; outline Unit action plan; and designate time for next briefing.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Assess Support Branch areas capacity to deliver needed: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A32C1">
              <w:rPr>
                <w:rFonts w:ascii="Arial" w:eastAsia="Times New Roman" w:hAnsi="Arial" w:cs="Arial"/>
                <w:sz w:val="20"/>
              </w:rPr>
              <w:t>Responder</w:t>
            </w:r>
            <w:r w:rsidRPr="001D0D02">
              <w:rPr>
                <w:rFonts w:ascii="Arial" w:eastAsia="Times New Roman" w:hAnsi="Arial" w:cs="Arial"/>
                <w:sz w:val="20"/>
              </w:rPr>
              <w:t xml:space="preserve"> health care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Mental health support to staff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Family support to staff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Medical equipment and supplies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Facility cleanliness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Internal and external transportation support</w:t>
            </w:r>
          </w:p>
          <w:p w:rsidR="00DA792B" w:rsidRPr="001D0D02" w:rsidRDefault="00DA792B" w:rsidP="00DA792B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Supplemental personnel management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 xml:space="preserve">In collaboration with the Safety Officer determine need for staff personal protective equipment; implement protective actions as required. 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Regularly report Service Branch status to the Logistics Section Chief.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Instruct all Unit Leaders to evaluate on-hand equipment, supply, and medication inventories and staff needs; report status to the Supply Unit Leader.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 xml:space="preserve">Assess mental health status concerns and; determine need for expanded support.  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Assess problems and needs in each Unit area; coordinate resource management.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1D0D02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418C8" w:rsidRP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06"/>
        <w:gridCol w:w="1038"/>
        <w:gridCol w:w="1071"/>
      </w:tblGrid>
      <w:tr w:rsidR="00A418C8" w:rsidRPr="00A418C8" w:rsidTr="00E715A6">
        <w:trPr>
          <w:tblHeader/>
        </w:trPr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lastRenderedPageBreak/>
              <w:t>Intermediate (Operational Period 2-12 Hours)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Continue assessing and coordinating Support Branch’s ability to provide needed personnel and support services.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Ensure prioritization of problems when multiple issues are presented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Continue to evaluate the need for staff personal protection measures, in coordination with the Safety Officer and the Medical Director and implement actions as indicated.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Assign mental health personnel to visit patient care areas and evaluate staff needs; in coordination with the Medical Director and report issues to the Logistics Section Chief.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Coordinate use of external resources to assist with service delivery.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Advise the Logistics Section Chief immediately of any operational issue you are not able to correct or resolve.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 xml:space="preserve">Meet routinely with the Logistics Section Chief for status reports, and relay important information to staff. 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BA32C1">
              <w:rPr>
                <w:rFonts w:ascii="Arial" w:eastAsia="Times New Roman" w:hAnsi="Arial" w:cs="Arial"/>
                <w:sz w:val="20"/>
                <w:szCs w:val="24"/>
              </w:rPr>
              <w:t xml:space="preserve">Assess environmental services </w:t>
            </w: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needs in all staff activity areas.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>Report equipment needs to the Supply Unit Leader.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D0D02">
              <w:rPr>
                <w:rFonts w:ascii="Arial" w:eastAsia="Times New Roman" w:hAnsi="Arial" w:cs="Arial"/>
                <w:sz w:val="20"/>
                <w:szCs w:val="24"/>
              </w:rPr>
              <w:t xml:space="preserve">Ensure staff health and safety issues being addressed; resolve with the Safety Officer when appropriate. 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4"/>
              </w:rPr>
            </w:pPr>
          </w:p>
        </w:tc>
      </w:tr>
    </w:tbl>
    <w:p w:rsidR="00A418C8" w:rsidRP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06"/>
        <w:gridCol w:w="1038"/>
        <w:gridCol w:w="1071"/>
      </w:tblGrid>
      <w:tr w:rsidR="00A418C8" w:rsidRPr="00A418C8" w:rsidTr="00E715A6">
        <w:trPr>
          <w:tblHeader/>
        </w:trPr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Demobilization/System Recovery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418C8" w:rsidRPr="00A418C8" w:rsidRDefault="00A418C8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  <w:t>Initial</w:t>
            </w: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 needs for Support Branch staff decrease, return staff to their usual jobs and combine or deactivate positions in a phased manner.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Assist the Logistics Section Chief and Unit Leaders with addressing staff health and medical concerns.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Ensure return/retrieval of equipment and supplies.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Logistics Section Chief.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Upon deactivation of your position, brief the Logistics Section Chief on current problems, outstanding issues, and follow-up requirements.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Times New Roman"/>
                <w:sz w:val="20"/>
              </w:rPr>
              <w:t>Submit comments in the after action report.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A792B" w:rsidRPr="00A418C8" w:rsidTr="00E715A6">
        <w:tc>
          <w:tcPr>
            <w:tcW w:w="3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A792B" w:rsidRPr="001D0D02" w:rsidRDefault="00DA792B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D0D02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A792B" w:rsidRPr="00A418C8" w:rsidRDefault="00DA792B" w:rsidP="00A418C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A418C8" w:rsidRPr="00A418C8" w:rsidRDefault="00A418C8" w:rsidP="00A418C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A418C8" w:rsidRPr="00A418C8" w:rsidTr="00E715A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418C8" w:rsidRPr="00A418C8" w:rsidRDefault="00A418C8" w:rsidP="00A418C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418C8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A418C8" w:rsidRPr="00A418C8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18C8" w:rsidRPr="00A418C8" w:rsidRDefault="00DA792B" w:rsidP="00DA792B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C0BEE" wp14:editId="74F2B18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163830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.55pt;margin-top:12.9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Bifw2x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182DA" wp14:editId="7255B3F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11430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.55pt;margin-top:.9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OCYnCj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Century Gothic" w:hAnsi="Arial" w:cs="Arial"/>
                <w:sz w:val="20"/>
                <w:szCs w:val="20"/>
              </w:rPr>
              <w:t>Incident Action Plan</w:t>
            </w:r>
          </w:p>
          <w:p w:rsidR="00A418C8" w:rsidRPr="00A418C8" w:rsidRDefault="00A418C8" w:rsidP="00DA792B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A418C8">
              <w:rPr>
                <w:rFonts w:ascii="Arial" w:eastAsia="Century Gothic" w:hAnsi="Arial" w:cs="Arial"/>
                <w:sz w:val="20"/>
                <w:szCs w:val="20"/>
              </w:rPr>
              <w:t>HICS Form 213 – Incident Message Form</w:t>
            </w:r>
          </w:p>
          <w:p w:rsidR="00A418C8" w:rsidRPr="00A418C8" w:rsidRDefault="00DA792B" w:rsidP="00DA792B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52115" wp14:editId="5D32F81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14605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.55pt;margin-top:1.1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PezBO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Century Gothic" w:hAnsi="Arial" w:cs="Arial"/>
                <w:sz w:val="20"/>
                <w:szCs w:val="20"/>
              </w:rPr>
              <w:t>HICS Form 214 – Operational Log</w:t>
            </w:r>
          </w:p>
          <w:p w:rsidR="00A418C8" w:rsidRPr="00A418C8" w:rsidRDefault="00DA792B" w:rsidP="00DA792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5A0C5" wp14:editId="60D5616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20955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.55pt;margin-top:1.6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IlILtP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</w:p>
          <w:p w:rsidR="00A418C8" w:rsidRPr="00A418C8" w:rsidRDefault="00DA792B" w:rsidP="00DA792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7BE2E" wp14:editId="4517E94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3.55pt;margin-top:2.1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CmUPnq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A418C8" w:rsidRPr="00A418C8" w:rsidRDefault="00DA792B" w:rsidP="00DA792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CA79A" wp14:editId="1A9686E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3.55pt;margin-top:2.1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plD56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A418C8" w:rsidRPr="00A418C8" w:rsidRDefault="00DA792B" w:rsidP="00DA792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05EF9" wp14:editId="2AF82A0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3.55pt;margin-top:2.1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KZQ+er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Times New Roman" w:hAnsi="Arial" w:cs="Arial"/>
                <w:sz w:val="20"/>
                <w:szCs w:val="20"/>
              </w:rPr>
              <w:t>Local resource numbers</w:t>
            </w:r>
            <w:r w:rsidR="00A418C8" w:rsidRPr="00A418C8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418C8" w:rsidRPr="00A418C8" w:rsidRDefault="00DA792B" w:rsidP="00DA792B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A792B">
              <w:rPr>
                <w:rFonts w:ascii="Arial" w:eastAsia="Century Gothic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A68D8" wp14:editId="5A54F23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34127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.55pt;margin-top:2.7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A418C8" w:rsidRPr="00A418C8">
              <w:rPr>
                <w:rFonts w:ascii="Arial" w:eastAsia="Century Gothic" w:hAnsi="Arial" w:cs="Arial"/>
                <w:sz w:val="20"/>
                <w:szCs w:val="20"/>
              </w:rPr>
              <w:t>Inventory list and vendor supply list</w:t>
            </w:r>
          </w:p>
        </w:tc>
      </w:tr>
    </w:tbl>
    <w:p w:rsidR="003156FC" w:rsidRPr="00A418C8" w:rsidRDefault="003156FC" w:rsidP="00A418C8">
      <w:pPr>
        <w:spacing w:after="0"/>
      </w:pPr>
    </w:p>
    <w:sectPr w:rsidR="003156FC" w:rsidRPr="00A418C8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6" w:rsidRDefault="00E61236" w:rsidP="00CC75EE">
      <w:pPr>
        <w:spacing w:after="0" w:line="240" w:lineRule="auto"/>
      </w:pPr>
      <w:r>
        <w:separator/>
      </w:r>
    </w:p>
  </w:endnote>
  <w:endnote w:type="continuationSeparator" w:id="0">
    <w:p w:rsidR="00E61236" w:rsidRDefault="00E6123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6" w:rsidRDefault="00E61236" w:rsidP="00CC75EE">
      <w:pPr>
        <w:spacing w:after="0" w:line="240" w:lineRule="auto"/>
      </w:pPr>
      <w:r>
        <w:separator/>
      </w:r>
    </w:p>
  </w:footnote>
  <w:footnote w:type="continuationSeparator" w:id="0">
    <w:p w:rsidR="00E61236" w:rsidRDefault="00E6123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Job Action Sheet</w:t>
    </w: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TMTS Operations Guide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="00A418C8">
      <w:rPr>
        <w:rFonts w:ascii="Century Gothic" w:eastAsia="Century Gothic" w:hAnsi="Century Gothic" w:cs="Arial"/>
        <w:b/>
        <w:sz w:val="16"/>
        <w:szCs w:val="16"/>
      </w:rPr>
      <w:t>SUPPORT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UNIT LEADER</w:t>
    </w:r>
  </w:p>
  <w:p w:rsidR="005304C2" w:rsidRPr="005304C2" w:rsidRDefault="0061520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615202">
      <w:rPr>
        <w:rFonts w:ascii="Century Gothic" w:eastAsia="Century Gothic" w:hAnsi="Century Gothic" w:cs="Arial"/>
        <w:sz w:val="16"/>
        <w:szCs w:val="16"/>
      </w:rPr>
      <w:fldChar w:fldCharType="begin"/>
    </w:r>
    <w:r w:rsidRPr="0061520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615202">
      <w:rPr>
        <w:rFonts w:ascii="Century Gothic" w:eastAsia="Century Gothic" w:hAnsi="Century Gothic" w:cs="Arial"/>
        <w:sz w:val="16"/>
        <w:szCs w:val="16"/>
      </w:rPr>
      <w:fldChar w:fldCharType="separate"/>
    </w:r>
    <w:r w:rsidR="00DA792B">
      <w:rPr>
        <w:rFonts w:ascii="Century Gothic" w:eastAsia="Century Gothic" w:hAnsi="Century Gothic" w:cs="Arial"/>
        <w:noProof/>
        <w:sz w:val="16"/>
        <w:szCs w:val="16"/>
      </w:rPr>
      <w:t>2</w:t>
    </w:r>
    <w:r w:rsidRPr="00615202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6"/>
  </w:num>
  <w:num w:numId="7">
    <w:abstractNumId w:val="17"/>
  </w:num>
  <w:num w:numId="8">
    <w:abstractNumId w:val="22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21"/>
  </w:num>
  <w:num w:numId="16">
    <w:abstractNumId w:val="19"/>
  </w:num>
  <w:num w:numId="17">
    <w:abstractNumId w:val="2"/>
  </w:num>
  <w:num w:numId="18">
    <w:abstractNumId w:val="18"/>
  </w:num>
  <w:num w:numId="19">
    <w:abstractNumId w:val="8"/>
  </w:num>
  <w:num w:numId="20">
    <w:abstractNumId w:val="9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62F00"/>
    <w:rsid w:val="001A3F19"/>
    <w:rsid w:val="003156FC"/>
    <w:rsid w:val="004642C5"/>
    <w:rsid w:val="005304C2"/>
    <w:rsid w:val="005A452B"/>
    <w:rsid w:val="005C1210"/>
    <w:rsid w:val="00615202"/>
    <w:rsid w:val="00865551"/>
    <w:rsid w:val="00875BB3"/>
    <w:rsid w:val="008C12F0"/>
    <w:rsid w:val="00917B52"/>
    <w:rsid w:val="009C60D0"/>
    <w:rsid w:val="00A17486"/>
    <w:rsid w:val="00A418C8"/>
    <w:rsid w:val="00A42712"/>
    <w:rsid w:val="00A46911"/>
    <w:rsid w:val="00AA470E"/>
    <w:rsid w:val="00AD261C"/>
    <w:rsid w:val="00B10CC4"/>
    <w:rsid w:val="00B63B0B"/>
    <w:rsid w:val="00BC6542"/>
    <w:rsid w:val="00C414DA"/>
    <w:rsid w:val="00C7772E"/>
    <w:rsid w:val="00CC75EE"/>
    <w:rsid w:val="00CE74AB"/>
    <w:rsid w:val="00D1559E"/>
    <w:rsid w:val="00DA792B"/>
    <w:rsid w:val="00E61236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2012-09-28T20:55:00Z</cp:lastPrinted>
  <dcterms:created xsi:type="dcterms:W3CDTF">2012-07-14T18:52:00Z</dcterms:created>
  <dcterms:modified xsi:type="dcterms:W3CDTF">2012-09-28T20:55:00Z</dcterms:modified>
</cp:coreProperties>
</file>