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38" w:rsidRPr="00107038" w:rsidRDefault="00107038" w:rsidP="0010703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107038">
        <w:rPr>
          <w:rFonts w:ascii="Arial" w:eastAsia="Times New Roman" w:hAnsi="Arial" w:cs="Arial"/>
          <w:b/>
          <w:sz w:val="32"/>
          <w:szCs w:val="24"/>
        </w:rPr>
        <w:t>FINANCE CHIEF</w:t>
      </w: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F2381" w:rsidRPr="00BD3744" w:rsidRDefault="00CF2381" w:rsidP="00CF2381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BD3744">
        <w:rPr>
          <w:rFonts w:ascii="Arial" w:eastAsia="Times New Roman" w:hAnsi="Arial" w:cs="Times New Roman"/>
          <w:b/>
          <w:szCs w:val="24"/>
        </w:rPr>
        <w:t xml:space="preserve">Mission: </w:t>
      </w:r>
      <w:r w:rsidRPr="00BD3744">
        <w:rPr>
          <w:rFonts w:ascii="Arial" w:eastAsia="Times New Roman" w:hAnsi="Arial" w:cs="Times New Roman"/>
          <w:szCs w:val="24"/>
        </w:rPr>
        <w:t xml:space="preserve"> Monitor the use of financial assets.  Oversee the acquisition of supplies and services necessary to carry out the </w:t>
      </w:r>
      <w:r>
        <w:rPr>
          <w:rFonts w:ascii="Arial" w:eastAsia="Times New Roman" w:hAnsi="Arial" w:cs="Times New Roman"/>
          <w:szCs w:val="24"/>
        </w:rPr>
        <w:t>TMTS</w:t>
      </w:r>
      <w:r w:rsidRPr="00BD3744">
        <w:rPr>
          <w:rFonts w:ascii="Arial" w:eastAsia="Times New Roman" w:hAnsi="Arial" w:cs="Times New Roman"/>
          <w:szCs w:val="24"/>
        </w:rPr>
        <w:t xml:space="preserve">’s medical mission.  Supervise the </w:t>
      </w:r>
      <w:r>
        <w:rPr>
          <w:rFonts w:ascii="Arial" w:eastAsia="Times New Roman" w:hAnsi="Arial" w:cs="Times New Roman"/>
          <w:szCs w:val="24"/>
        </w:rPr>
        <w:t>d</w:t>
      </w:r>
      <w:r w:rsidRPr="00BD3744">
        <w:rPr>
          <w:rFonts w:ascii="Arial" w:eastAsia="Times New Roman" w:hAnsi="Arial" w:cs="Times New Roman"/>
          <w:szCs w:val="24"/>
        </w:rPr>
        <w:t>ocumentation of expenditures relevant to the emergency incident.</w:t>
      </w:r>
    </w:p>
    <w:p w:rsid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0260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107038" w:rsidRPr="00107038" w:rsidTr="00107038">
        <w:tc>
          <w:tcPr>
            <w:tcW w:w="1026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7038" w:rsidRPr="00107038" w:rsidRDefault="00107038" w:rsidP="00107038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  <w:u w:val="single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pos="43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107038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TMTS Administrator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>S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ignature:  </w:t>
            </w:r>
            <w:r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Location: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107038" w:rsidRPr="00107038" w:rsidRDefault="00107038" w:rsidP="00107038">
            <w:pPr>
              <w:tabs>
                <w:tab w:val="left" w:leader="underscore" w:pos="2520"/>
                <w:tab w:val="left" w:leader="underscore" w:pos="6120"/>
                <w:tab w:val="left" w:leader="underscore" w:pos="9965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107038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p w:rsidR="00107038" w:rsidRPr="00107038" w:rsidRDefault="00107038" w:rsidP="00107038">
      <w:pPr>
        <w:spacing w:after="0" w:line="240" w:lineRule="auto"/>
        <w:rPr>
          <w:rFonts w:ascii="Times New Roman" w:eastAsia="Times New Roman" w:hAnsi="Times New Roman" w:cs="Arial"/>
          <w:spacing w:val="-3"/>
          <w:sz w:val="20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107038" w:rsidRPr="00107038" w:rsidTr="00107038">
        <w:trPr>
          <w:trHeight w:val="382"/>
          <w:tblHeader/>
        </w:trPr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Receive assignment and briefing from the Operations Chief. Obtain packet containing Finance Section Job Action Sheets.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Determine need for and appropriately appoint Finance Unit Leaders, distribute corresponding Job Action Sheets and position identification. 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Cs w:val="20"/>
              </w:rPr>
            </w:pPr>
            <w:r w:rsidRPr="00BD3744">
              <w:rPr>
                <w:rFonts w:ascii="Arial" w:eastAsia="Times New Roman" w:hAnsi="Arial" w:cs="Arial"/>
                <w:spacing w:val="-3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Brief Finance Unit Leaders on current situation, incident objectives, and strategy; outline Section action plan; and designate time for next briefing.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Participate in Incident Action Plan (IAP) as needed and,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Provide cost implications of incident objectives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that the IAP is within financial limits established by the Operations Chief.</w:t>
            </w:r>
          </w:p>
          <w:p w:rsidR="00CF2381" w:rsidRPr="00BD3744" w:rsidRDefault="00CF2381" w:rsidP="00CF2381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Determine if any special contractual arrangements/agreements are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Obtain information and updates regularly from the Finance Section Unit Leaders; maintain knowledge of current status of all Units; inform Operations Chief of status information.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Finance Section personnel comply with safety policies and procedures.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Receive assigned radio and establish two-way communication with the Communications Unit Leader.  Receive just-in-time training for the radio if needed.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107038" w:rsidRPr="00107038" w:rsidTr="00107038">
        <w:trPr>
          <w:trHeight w:val="454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lastRenderedPageBreak/>
              <w:t>Intermediate (Operational Period 2-12 Hours)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Approve a” cost-to-date” incident financial status report summarizing financial data relative to personnel, supplies, and miscellaneous expenses.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pacing w:val="-3"/>
                <w:sz w:val="20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Initiate the Resource Accounting Record (HICS Form 257) to track equipment used during the response.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Obtain briefings and updates from the Operations Chief as appropriate.  Relate pertinent financial status reports appropriate Section Chief’s and Unit Leaders.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Approve a “cost-to-date” incident financial status report submitted by the Cost Unit Leader at a designated scheduled time summarizing financial data relati</w:t>
            </w:r>
            <w:r>
              <w:rPr>
                <w:rFonts w:ascii="Arial" w:eastAsia="Times New Roman" w:hAnsi="Arial" w:cs="Times New Roman"/>
                <w:szCs w:val="24"/>
              </w:rPr>
              <w:t xml:space="preserve">ve to personnel, supplies, and </w:t>
            </w:r>
            <w:r w:rsidRPr="00BD3744">
              <w:rPr>
                <w:rFonts w:ascii="Arial" w:eastAsia="Times New Roman" w:hAnsi="Arial" w:cs="Times New Roman"/>
                <w:szCs w:val="24"/>
              </w:rPr>
              <w:t>other expenditures and</w:t>
            </w:r>
            <w:r>
              <w:rPr>
                <w:rFonts w:ascii="Arial" w:eastAsia="Times New Roman" w:hAnsi="Arial" w:cs="Times New Roman"/>
                <w:szCs w:val="24"/>
              </w:rPr>
              <w:t xml:space="preserve"> </w:t>
            </w:r>
            <w:r w:rsidRPr="00BD3744">
              <w:rPr>
                <w:rFonts w:ascii="Arial" w:eastAsia="Times New Roman" w:hAnsi="Arial" w:cs="Times New Roman"/>
                <w:szCs w:val="24"/>
              </w:rPr>
              <w:t>expenses.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Schedule planning meetings to include the Operations Chief to discuss updating the section’s incident action plan and termination procedure.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that the Finance Section is adequately staffed and supplied.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07038">
        <w:rPr>
          <w:rFonts w:ascii="Arial" w:eastAsia="Times New Roman" w:hAnsi="Arial" w:cs="Times New Roman"/>
          <w:szCs w:val="24"/>
        </w:rPr>
        <w:tab/>
      </w:r>
      <w:r w:rsidRPr="00107038">
        <w:rPr>
          <w:rFonts w:ascii="Arial" w:eastAsia="Times New Roman" w:hAnsi="Arial" w:cs="Times New Roman"/>
          <w:szCs w:val="24"/>
        </w:rPr>
        <w:tab/>
      </w: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2"/>
        <w:gridCol w:w="932"/>
        <w:gridCol w:w="1071"/>
      </w:tblGrid>
      <w:tr w:rsidR="00107038" w:rsidRPr="00107038" w:rsidTr="00E715A6">
        <w:trPr>
          <w:tblHeader/>
        </w:trPr>
        <w:tc>
          <w:tcPr>
            <w:tcW w:w="402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5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Continue to maintain the Resource Accounting Record (HICS Form 257) to track equipment used during the response.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Conduct regular situation update briefings with Finance Section.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5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Schedule planning meetings with Finance Section staff to update the Section action plan and demobilization procedures.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Ensure that required financial and administrative documentation is properly prepared.  Collate and process invoices received.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Present financial updates to the Operations Chief and Planning Chief/MST at designated time schedule.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Continue to document on an HICS Form 214.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Coordinate emergency procurement requests with Logistics Chief.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Follow local, state, and federal guidelines regarding reimbursement regulations and requirements; ensure required documentation is prepared according to guidelines.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 xml:space="preserve">Upon shift change, brief your replacement on the status of all ongoing operations, issues, and other relevant incident information. </w:t>
            </w:r>
          </w:p>
        </w:tc>
        <w:tc>
          <w:tcPr>
            <w:tcW w:w="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07038">
        <w:rPr>
          <w:rFonts w:ascii="Arial" w:eastAsia="Times New Roman" w:hAnsi="Arial" w:cs="Times New Roman"/>
          <w:szCs w:val="24"/>
        </w:rPr>
        <w:t xml:space="preserve"> </w:t>
      </w: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14"/>
        <w:gridCol w:w="930"/>
        <w:gridCol w:w="1071"/>
      </w:tblGrid>
      <w:tr w:rsidR="00107038" w:rsidRPr="00107038" w:rsidTr="00107038">
        <w:trPr>
          <w:trHeight w:val="445"/>
          <w:tblHeader/>
        </w:trPr>
        <w:tc>
          <w:tcPr>
            <w:tcW w:w="403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lastRenderedPageBreak/>
              <w:t>Demobilization/System Recovery</w:t>
            </w:r>
          </w:p>
        </w:tc>
        <w:tc>
          <w:tcPr>
            <w:tcW w:w="45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51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Collect and analyze all financial related data from Finance Sections Units.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BD3744">
              <w:rPr>
                <w:rFonts w:ascii="Arial" w:eastAsia="Times New Roman" w:hAnsi="Arial" w:cs="Times New Roman"/>
                <w:szCs w:val="24"/>
              </w:rPr>
              <w:t>Ensure processing and payment of invoiced costs.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deactivation of your position, brief the Operations Section Chief on current problems, outstanding issues, and follow-up requirements.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Submit comments to the after action report.</w:t>
            </w:r>
          </w:p>
        </w:tc>
        <w:tc>
          <w:tcPr>
            <w:tcW w:w="45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  <w:tr w:rsidR="00CF2381" w:rsidRPr="00107038" w:rsidTr="00E715A6">
        <w:tc>
          <w:tcPr>
            <w:tcW w:w="40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F2381" w:rsidRPr="00BD3744" w:rsidRDefault="00CF2381" w:rsidP="000F2B5B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BD3744">
              <w:rPr>
                <w:rFonts w:ascii="Arial" w:eastAsia="Times New Roman" w:hAnsi="Arial" w:cs="Arial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F2381" w:rsidRPr="00107038" w:rsidRDefault="00CF2381" w:rsidP="00107038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Cs w:val="20"/>
              </w:rPr>
            </w:pPr>
          </w:p>
        </w:tc>
      </w:tr>
    </w:tbl>
    <w:p w:rsidR="00107038" w:rsidRPr="00107038" w:rsidRDefault="00107038" w:rsidP="00107038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378" w:type="pct"/>
        <w:tblInd w:w="-3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107038" w:rsidRPr="00107038" w:rsidTr="00107038">
        <w:trPr>
          <w:trHeight w:val="409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07038" w:rsidRPr="00107038" w:rsidRDefault="00107038" w:rsidP="00107038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107038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107038" w:rsidRPr="00107038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DCD94" wp14:editId="01B46D2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10323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.25pt;margin-top:.8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HICS Form 207- Incident Management Team Chart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95B31" wp14:editId="75BC0F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15875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.25pt;margin-top:1.2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JUeFTdsAAAAG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CF2381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76411" wp14:editId="30D6C48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812165</wp:posOffset>
                      </wp:positionV>
                      <wp:extent cx="99060" cy="99060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5.25pt;margin-top:63.9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HICS Form 213 – Incident Message Form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A561E" wp14:editId="7056A7A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8255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.25pt;margin-top:.6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HICS Form 214 – Operational Log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6B451B" wp14:editId="7946EB8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5080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.25pt;margin-top:.4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HICS Form 257 – Resource Accounting Record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C7A31E" wp14:editId="75C98B6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7620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5.25pt;margin-top:.6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TMTS organization chart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34005" wp14:editId="569BC92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6985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5.25pt;margin-top:.5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TMTS telephone directory</w:t>
            </w:r>
          </w:p>
          <w:p w:rsidR="00107038" w:rsidRPr="00107038" w:rsidRDefault="00107038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07038">
              <w:rPr>
                <w:rFonts w:ascii="Arial" w:eastAsia="Times New Roman" w:hAnsi="Arial" w:cs="Arial"/>
                <w:szCs w:val="20"/>
              </w:rPr>
              <w:t>Radio/satellite phone – phone numbers and radio assignments</w:t>
            </w:r>
          </w:p>
          <w:p w:rsidR="00107038" w:rsidRPr="00107038" w:rsidRDefault="00CF2381" w:rsidP="00CF238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CF2381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1A60A1" wp14:editId="29F9EDA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16982</wp:posOffset>
                      </wp:positionV>
                      <wp:extent cx="99060" cy="990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.1pt;margin-top:1.3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107038" w:rsidRPr="00107038">
              <w:rPr>
                <w:rFonts w:ascii="Arial" w:eastAsia="Times New Roman" w:hAnsi="Arial" w:cs="Arial"/>
                <w:szCs w:val="20"/>
              </w:rPr>
              <w:t>Local resources</w:t>
            </w:r>
          </w:p>
        </w:tc>
      </w:tr>
    </w:tbl>
    <w:p w:rsidR="003156FC" w:rsidRPr="00107038" w:rsidRDefault="003156FC" w:rsidP="00107038">
      <w:bookmarkStart w:id="0" w:name="_GoBack"/>
      <w:bookmarkEnd w:id="0"/>
    </w:p>
    <w:sectPr w:rsidR="003156FC" w:rsidRPr="00107038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66" w:rsidRDefault="00E57066" w:rsidP="00CC75EE">
      <w:pPr>
        <w:spacing w:after="0" w:line="240" w:lineRule="auto"/>
      </w:pPr>
      <w:r>
        <w:separator/>
      </w:r>
    </w:p>
  </w:endnote>
  <w:endnote w:type="continuationSeparator" w:id="0">
    <w:p w:rsidR="00E57066" w:rsidRDefault="00E5706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66" w:rsidRDefault="00E57066" w:rsidP="00CC75EE">
      <w:pPr>
        <w:spacing w:after="0" w:line="240" w:lineRule="auto"/>
      </w:pPr>
      <w:r>
        <w:separator/>
      </w:r>
    </w:p>
  </w:footnote>
  <w:footnote w:type="continuationSeparator" w:id="0">
    <w:p w:rsidR="00E57066" w:rsidRDefault="00E5706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Job Action Sheet</w:t>
    </w: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>Finance Section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>TMTS Operations Guide</w:t>
    </w:r>
    <w:r w:rsidRPr="00107038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107038">
      <w:rPr>
        <w:rFonts w:ascii="Century Gothic" w:eastAsia="Century Gothic" w:hAnsi="Century Gothic" w:cs="Arial"/>
        <w:b/>
        <w:sz w:val="16"/>
        <w:szCs w:val="16"/>
      </w:rPr>
      <w:tab/>
    </w:r>
    <w:r w:rsidRPr="00107038">
      <w:rPr>
        <w:rFonts w:ascii="Century Gothic" w:eastAsia="Century Gothic" w:hAnsi="Century Gothic" w:cs="Arial"/>
        <w:b/>
        <w:sz w:val="16"/>
        <w:szCs w:val="16"/>
      </w:rPr>
      <w:tab/>
      <w:t>FINANCE SECTION CHIEF</w:t>
    </w:r>
  </w:p>
  <w:p w:rsidR="00107038" w:rsidRPr="00107038" w:rsidRDefault="00107038" w:rsidP="00107038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107038">
      <w:rPr>
        <w:rFonts w:ascii="Century Gothic" w:eastAsia="Century Gothic" w:hAnsi="Century Gothic" w:cs="Arial"/>
        <w:sz w:val="16"/>
        <w:szCs w:val="16"/>
      </w:rPr>
      <w:tab/>
    </w:r>
    <w:r w:rsidRPr="00107038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107038">
      <w:rPr>
        <w:rFonts w:ascii="Century Gothic" w:eastAsia="Century Gothic" w:hAnsi="Century Gothic" w:cs="Arial"/>
        <w:sz w:val="16"/>
        <w:szCs w:val="16"/>
      </w:rPr>
      <w:fldChar w:fldCharType="begin"/>
    </w:r>
    <w:r w:rsidRPr="00107038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107038">
      <w:rPr>
        <w:rFonts w:ascii="Century Gothic" w:eastAsia="Century Gothic" w:hAnsi="Century Gothic" w:cs="Arial"/>
        <w:sz w:val="16"/>
        <w:szCs w:val="16"/>
      </w:rPr>
      <w:fldChar w:fldCharType="separate"/>
    </w:r>
    <w:r w:rsidR="00CF2381">
      <w:rPr>
        <w:rFonts w:ascii="Century Gothic" w:eastAsia="Century Gothic" w:hAnsi="Century Gothic" w:cs="Arial"/>
        <w:noProof/>
        <w:sz w:val="16"/>
        <w:szCs w:val="16"/>
      </w:rPr>
      <w:t>3</w:t>
    </w:r>
    <w:r w:rsidRPr="00107038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F448D3" w:rsidRDefault="005304C2" w:rsidP="00F44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107038">
      <w:rPr>
        <w:rFonts w:ascii="Century Gothic" w:eastAsia="Century Gothic" w:hAnsi="Century Gothic" w:cs="Arial"/>
        <w:sz w:val="16"/>
        <w:szCs w:val="16"/>
      </w:rPr>
      <w:t>Finance</w:t>
    </w:r>
    <w:r w:rsidR="000D0810">
      <w:rPr>
        <w:rFonts w:ascii="Century Gothic" w:eastAsia="Century Gothic" w:hAnsi="Century Gothic" w:cs="Arial"/>
        <w:sz w:val="16"/>
        <w:szCs w:val="16"/>
      </w:rPr>
      <w:t xml:space="preserve"> Section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3865A6A"/>
    <w:multiLevelType w:val="hybridMultilevel"/>
    <w:tmpl w:val="CBE0FF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D8C6DE1"/>
    <w:multiLevelType w:val="hybridMultilevel"/>
    <w:tmpl w:val="0E4E3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D10E30"/>
    <w:multiLevelType w:val="hybridMultilevel"/>
    <w:tmpl w:val="EF66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F491C16"/>
    <w:multiLevelType w:val="hybridMultilevel"/>
    <w:tmpl w:val="191833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76CB1194"/>
    <w:multiLevelType w:val="hybridMultilevel"/>
    <w:tmpl w:val="DF12722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17"/>
  </w:num>
  <w:num w:numId="7">
    <w:abstractNumId w:val="18"/>
  </w:num>
  <w:num w:numId="8">
    <w:abstractNumId w:val="24"/>
  </w:num>
  <w:num w:numId="9">
    <w:abstractNumId w:val="3"/>
  </w:num>
  <w:num w:numId="10">
    <w:abstractNumId w:val="4"/>
  </w:num>
  <w:num w:numId="11">
    <w:abstractNumId w:val="1"/>
  </w:num>
  <w:num w:numId="12">
    <w:abstractNumId w:val="14"/>
  </w:num>
  <w:num w:numId="13">
    <w:abstractNumId w:val="11"/>
  </w:num>
  <w:num w:numId="14">
    <w:abstractNumId w:val="7"/>
  </w:num>
  <w:num w:numId="15">
    <w:abstractNumId w:val="22"/>
  </w:num>
  <w:num w:numId="16">
    <w:abstractNumId w:val="20"/>
  </w:num>
  <w:num w:numId="17">
    <w:abstractNumId w:val="2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16"/>
  </w:num>
  <w:num w:numId="23">
    <w:abstractNumId w:val="12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0D0810"/>
    <w:rsid w:val="00107038"/>
    <w:rsid w:val="001A3F19"/>
    <w:rsid w:val="003156FC"/>
    <w:rsid w:val="00374361"/>
    <w:rsid w:val="004642C5"/>
    <w:rsid w:val="005304C2"/>
    <w:rsid w:val="005A452B"/>
    <w:rsid w:val="005C1210"/>
    <w:rsid w:val="00615202"/>
    <w:rsid w:val="00804750"/>
    <w:rsid w:val="00865551"/>
    <w:rsid w:val="00875BB3"/>
    <w:rsid w:val="008C12F0"/>
    <w:rsid w:val="00913DD1"/>
    <w:rsid w:val="00915EC4"/>
    <w:rsid w:val="00917B52"/>
    <w:rsid w:val="009C60D0"/>
    <w:rsid w:val="00A17486"/>
    <w:rsid w:val="00A418C8"/>
    <w:rsid w:val="00A42712"/>
    <w:rsid w:val="00A46911"/>
    <w:rsid w:val="00AA470E"/>
    <w:rsid w:val="00AD261C"/>
    <w:rsid w:val="00B10CC4"/>
    <w:rsid w:val="00B63B0B"/>
    <w:rsid w:val="00BC6542"/>
    <w:rsid w:val="00BE28C6"/>
    <w:rsid w:val="00C414DA"/>
    <w:rsid w:val="00C7772E"/>
    <w:rsid w:val="00CC75EE"/>
    <w:rsid w:val="00CE74AB"/>
    <w:rsid w:val="00CF2381"/>
    <w:rsid w:val="00D1559E"/>
    <w:rsid w:val="00E57066"/>
    <w:rsid w:val="00F448D3"/>
    <w:rsid w:val="00FE01A2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2012-09-29T00:58:00Z</cp:lastPrinted>
  <dcterms:created xsi:type="dcterms:W3CDTF">2012-07-14T19:17:00Z</dcterms:created>
  <dcterms:modified xsi:type="dcterms:W3CDTF">2012-09-29T01:01:00Z</dcterms:modified>
</cp:coreProperties>
</file>